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5123">
        <w:rPr>
          <w:rFonts w:ascii="Times New Roman" w:eastAsia="SimSu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B0FA621" wp14:editId="32651063">
            <wp:extent cx="485775" cy="657225"/>
            <wp:effectExtent l="0" t="0" r="9525" b="9525"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23" w:rsidRPr="00205123" w:rsidRDefault="00205123" w:rsidP="0020512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«КЯХТИНСКИЙ РАЙОН» РЕСПУБЛИКИ БУРЯТИЯ</w:t>
      </w: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0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ноября</w:t>
      </w:r>
      <w:r w:rsidRPr="00205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                                                             № 463</w:t>
      </w: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800" w:right="920" w:firstLine="1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перевозок в МО «</w:t>
      </w:r>
      <w:proofErr w:type="spellStart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Республики Бурятия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20" w:right="3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2, пунктом 27 части 1 статьи 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муниципальное образование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proofErr w:type="gramStart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документ планирования регулярных перевозок пассажиров и багажа автомобильным транспортом по муниципальным маршрутам регулярных перевозок в 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Кяхтинском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Республики Бурятия. </w:t>
      </w:r>
    </w:p>
    <w:p w:rsidR="00205123" w:rsidRPr="00205123" w:rsidRDefault="00205123" w:rsidP="002051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 за    исполнением    настоящего   постановления     возложить  </w:t>
      </w:r>
      <w:proofErr w:type="gram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руководителя Администрации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экономическому развитию В.З. 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Мохун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123" w:rsidRPr="00205123" w:rsidRDefault="00205123" w:rsidP="002051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органу </w:t>
      </w:r>
      <w:proofErr w:type="gram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admkht.ru в подразделе «Пассажирские перевозки» в течение трех дней со дня его утверждения.</w:t>
      </w:r>
    </w:p>
    <w:p w:rsidR="00205123" w:rsidRPr="00205123" w:rsidRDefault="00205123" w:rsidP="0020512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опубликования (обнародования).</w:t>
      </w:r>
    </w:p>
    <w:p w:rsidR="00205123" w:rsidRPr="00205123" w:rsidRDefault="00205123" w:rsidP="0020512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А.В. 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</w:t>
      </w:r>
      <w:proofErr w:type="spellEnd"/>
    </w:p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 ноября 2017 г.   № 463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Default="00205123" w:rsidP="002051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155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ДОКУМЕНТ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планирования регулярных перевозок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7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пассажиров и багажа автомобильным транспортом по муниципальным маршрутам регулярных перевозок в </w:t>
      </w:r>
      <w:proofErr w:type="spellStart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Кяхтинском</w:t>
      </w:r>
      <w:proofErr w:type="spellEnd"/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Бурятия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документ планирования регулярных перевозок пасса-жиров и багажа автомобильным транспортом по муниципальным маршрутам регулярных перевозок в Республике Бурятия (далее - документ планирования) разработан в целях реализации положений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</w:t>
      </w:r>
      <w:proofErr w:type="gram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 220-ФЗ) и устанавливает перечень мероприятий по развитию регулярных перевозок по муниципальным маршрутам регулярных перевозок в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Бурятия (далее – регулярные перевозки).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утверждается на период до 31 декабря 2019 года (далее - период действия документа планирования).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развития регулярных перевозок является повышение качества, эффективности и безопасности транспортного обслуживания населения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Бурятия на маршрутах регулярных перевозок в муниципальном сообщении с учетом социальных и экономических факторов.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достижения указанной цели приоритетами развития регулярных перевозок являются: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маршрутной сети регулярных перевозок с учетом минимизации дублирования маршрутов, установленных для осуществления регулярных перевозок по регулируемым тарифам, и маршрутов, установленных для осуществления регулярных перевозок по нерегулируемым тарифам;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развитие транспортной инфраструктуры для обеспечения регулярных перевозок;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повышение эффективности системы управления и </w:t>
      </w:r>
      <w:proofErr w:type="gram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регулярных перевозок в рамках маршрутной сети. </w:t>
      </w:r>
    </w:p>
    <w:p w:rsidR="00205123" w:rsidRPr="00205123" w:rsidRDefault="00205123" w:rsidP="0020512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регулярных перевозок осуществляются экономическим отделом Администрации МО «</w:t>
      </w:r>
      <w:proofErr w:type="spellStart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Республики Бурятия, уполномоченным в сфере транспортного обслуживания населения автомобильным транспортом (далее – уполномоченный орган).</w:t>
      </w: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0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регулярных перевозок по последовательности их выполнения представлены в таблице 1.</w:t>
      </w:r>
    </w:p>
    <w:p w:rsid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28"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23" w:rsidRPr="00205123" w:rsidRDefault="00205123" w:rsidP="0020512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28"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123" w:rsidRPr="00205123" w:rsidRDefault="00205123" w:rsidP="00205123">
      <w:pPr>
        <w:spacing w:after="0" w:line="240" w:lineRule="auto"/>
        <w:ind w:right="23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0512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1</w:t>
      </w:r>
    </w:p>
    <w:p w:rsidR="00205123" w:rsidRPr="00205123" w:rsidRDefault="00205123" w:rsidP="00205123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  <w:lang w:val="en-US"/>
        </w:rPr>
      </w:pPr>
    </w:p>
    <w:tbl>
      <w:tblPr>
        <w:tblStyle w:val="TableNormal"/>
        <w:tblW w:w="966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3210"/>
        <w:gridCol w:w="3231"/>
        <w:gridCol w:w="2050"/>
      </w:tblGrid>
      <w:tr w:rsidR="00205123" w:rsidRPr="00205123" w:rsidTr="00AB5C56">
        <w:trPr>
          <w:trHeight w:hRule="exact" w:val="562"/>
        </w:trPr>
        <w:tc>
          <w:tcPr>
            <w:tcW w:w="1174" w:type="dxa"/>
          </w:tcPr>
          <w:p w:rsidR="00205123" w:rsidRPr="00205123" w:rsidRDefault="00205123" w:rsidP="00205123">
            <w:pPr>
              <w:ind w:left="223" w:hanging="70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</w:rPr>
              <w:t>№№ п/п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spacing w:line="273" w:lineRule="exact"/>
              <w:ind w:left="350" w:right="35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73" w:lineRule="exact"/>
              <w:ind w:left="333" w:right="10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</w:rPr>
              <w:t>Срок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</w:rPr>
              <w:t>исполнения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316" w:right="88" w:hanging="161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</w:rPr>
              <w:t>Ответственный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исполнитель</w:t>
            </w:r>
            <w:proofErr w:type="spellEnd"/>
          </w:p>
        </w:tc>
      </w:tr>
      <w:tr w:rsidR="00205123" w:rsidRPr="00205123" w:rsidTr="00AB5C56">
        <w:trPr>
          <w:trHeight w:hRule="exact" w:val="288"/>
        </w:trPr>
        <w:tc>
          <w:tcPr>
            <w:tcW w:w="1174" w:type="dxa"/>
          </w:tcPr>
          <w:p w:rsidR="00205123" w:rsidRPr="00205123" w:rsidRDefault="00205123" w:rsidP="0020512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050" w:type="dxa"/>
          </w:tcPr>
          <w:p w:rsidR="00205123" w:rsidRPr="00205123" w:rsidRDefault="00205123" w:rsidP="00205123">
            <w:pPr>
              <w:spacing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205123" w:rsidRPr="00205123" w:rsidTr="00AB5C56">
        <w:trPr>
          <w:trHeight w:hRule="exact" w:val="890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предложений по оптимизации маршрутной сети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15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2962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Установление, изменение, отмена межмуниципальных маршрутов регулярных перевозок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сроки, установленные постановлением МО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Кяхтинский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район» от 31.10.2016  №  388 </w:t>
            </w:r>
            <w:r w:rsidRPr="002051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</w:t>
            </w:r>
            <w:proofErr w:type="gramStart"/>
            <w:r w:rsidRPr="0020512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Об</w:t>
            </w:r>
            <w:proofErr w:type="gramEnd"/>
          </w:p>
          <w:p w:rsidR="00205123" w:rsidRPr="00205123" w:rsidRDefault="00205123" w:rsidP="00205123">
            <w:pPr>
              <w:ind w:left="103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</w:t>
            </w:r>
            <w:proofErr w:type="gram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Правил организации транспортного обслуживания населения по муниципальным маршрутам регулярных перевозок в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Кяхтинском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районе»</w:t>
            </w: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1721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реестра муниципальных маршрутов регулярных перевозок на территории МО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Кяхтинский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район» Республики Бурятия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7691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Изменение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вида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регулярных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перевозок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осуществляемых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муниципальным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маршрутам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регулярных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перевозок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№ 10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Кяхта-Наушки-Кяхта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№ 11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Кяхта-Хоронхой-Кяхта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» (с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заездом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Усть-Кяхту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); № 12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Кяхта-Усть-Киран-Кяхта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 № 13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Чикой-Кяхта-Чикой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№ 14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Кяхта-Большой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Луг-Кяхта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 № 15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Большая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Кудара-Кяхта-Большая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Кудара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» (с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заездом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Энхэ-Тала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Холой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Октябрьский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); № 16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Унгуркуй-Кяхта-Унгуркуй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» (с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заездом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Полканово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);  № 17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Убур-Киреть-Кяхта-Убур-Киреть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№ 18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Тамир-Кяхта-Тамир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№ 19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Кудара-Сомон-Кяхта-Кудара-Сомон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»; № 20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Шарагол-Кяхта-Шарагол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» (с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заездом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Анагустай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Цаган-Челутай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>);  № 21</w:t>
            </w: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5123" w:rsidRPr="00205123" w:rsidRDefault="00205123" w:rsidP="00205123">
            <w:pPr>
              <w:ind w:left="100" w:right="18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конца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2017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4971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Цаган-Челутай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);  № 21 «Малая Кудара-Кяхта-Малая Кудара»; № 22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Дунгуй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Дунгуй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»; при переводе из муниципальных маршрутов по регулируемым тарифам в муниципальные маршруты по нерегулируемым тарифам (путем внесения изменений в постановление уполномоченного органа, утверждающий реестр муниципальных маршрутов на территории МО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Кяхтинский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район» Республики Бурятия)</w:t>
            </w:r>
            <w:proofErr w:type="gramEnd"/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05123" w:rsidRPr="00205123" w:rsidTr="00AB5C56">
        <w:trPr>
          <w:trHeight w:hRule="exact" w:val="1979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Отмена муниципальных маршрутов регулярных перевозок № 13 «Чикой-Кяхта-Чикой»; № 17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Убур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Киреть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Убур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Киреть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205123" w:rsidRPr="00205123" w:rsidRDefault="00205123" w:rsidP="00205123">
            <w:pPr>
              <w:ind w:left="100"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05123" w:rsidRPr="00205123" w:rsidRDefault="00205123" w:rsidP="00205123">
            <w:pPr>
              <w:ind w:left="100"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Проанализировать потребность населения в перевозках по данным маршрутам, срок 25 декабря 2017 года.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результатам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анализа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объявления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конкурса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принять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8195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открытого  конкурса на право осуществления перевозок по межмуниципальному маршруту регулярных перевозок по нерегулируемым тарифам № 10 «Кяхта-Наушки-Кяхта»; № 11 «Кяхта-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Хоронхой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-Кяхта» (с заездом в с. Усть-Кяхту); № 12 «Кяхта-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Киран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-Кяхта»;  № 13 «Большой Луг-Кяхта-Большой Луг» (с заездом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Субуктуй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);  № 14 «Большая Кудара-Кяхта-Большая Кудара» (с заездом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Энхэ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-Тала,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, Октябрьский); № 15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Унгуркуй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Унгуркуй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(с заездом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Полканово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);</w:t>
            </w:r>
            <w:proofErr w:type="gram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№ 16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Тамир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Тамир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(с заездом </w:t>
            </w:r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Шазага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Убур-Киреть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, с. Чикой); № 17 «Кудара-Сомон-Кяхта-Кудара-Сомон»; № 18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Шарагол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Шарагол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(с заездом в с.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Анагустай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Цаган-Челутай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);  № 19 «Малая-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конца</w:t>
            </w: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четвертого квартала 2017 года</w:t>
            </w: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1002"/>
        </w:trPr>
        <w:tc>
          <w:tcPr>
            <w:tcW w:w="1174" w:type="dxa"/>
          </w:tcPr>
          <w:p w:rsidR="00205123" w:rsidRPr="00205123" w:rsidRDefault="00205123" w:rsidP="00205123">
            <w:pPr>
              <w:spacing w:line="269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Кудара»; № 20 «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Дунгуй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-Кяхта-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Усть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Дунгуй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tabs>
                <w:tab w:val="left" w:pos="734"/>
                <w:tab w:val="left" w:pos="1684"/>
              </w:tabs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05123" w:rsidRPr="00205123" w:rsidTr="00AB5C56">
        <w:trPr>
          <w:trHeight w:hRule="exact" w:val="2702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решения об изменении вида регулярных перевозок, осуществляемых по муниципальному маршруту регулярных перевозок в отношении регулярных перевозок, осуществляемых с 1 января 2020 года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2019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2702"/>
        </w:trPr>
        <w:tc>
          <w:tcPr>
            <w:tcW w:w="1174" w:type="dxa"/>
          </w:tcPr>
          <w:p w:rsidR="00205123" w:rsidRPr="00205123" w:rsidRDefault="00205123" w:rsidP="00205123">
            <w:pPr>
              <w:spacing w:line="268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свидетельств об осуществлении перевозок по муниципальным маршрутам регулярных перевозок и карт соответствующих маршрутов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spacing w:line="268" w:lineRule="exact"/>
              <w:ind w:left="103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В сроки</w:t>
            </w:r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,</w:t>
            </w:r>
            <w:proofErr w:type="gram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предусмотренные Федеральным законом № 220-ФЗ</w:t>
            </w:r>
          </w:p>
        </w:tc>
        <w:tc>
          <w:tcPr>
            <w:tcW w:w="2050" w:type="dxa"/>
          </w:tcPr>
          <w:p w:rsidR="00205123" w:rsidRPr="00205123" w:rsidRDefault="00205123" w:rsidP="00205123">
            <w:pPr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  <w:tr w:rsidR="00205123" w:rsidRPr="00205123" w:rsidTr="00AB5C56">
        <w:trPr>
          <w:trHeight w:hRule="exact" w:val="4951"/>
        </w:trPr>
        <w:tc>
          <w:tcPr>
            <w:tcW w:w="1174" w:type="dxa"/>
          </w:tcPr>
          <w:p w:rsidR="00205123" w:rsidRPr="00205123" w:rsidRDefault="00205123" w:rsidP="00205123">
            <w:pPr>
              <w:spacing w:line="27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05123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10" w:type="dxa"/>
          </w:tcPr>
          <w:p w:rsidR="00205123" w:rsidRPr="00205123" w:rsidRDefault="00205123" w:rsidP="00205123">
            <w:pPr>
              <w:ind w:left="100" w:right="1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proofErr w:type="gram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направленные на повышение уровня безопасности и качества услуг муниципального пассажирского транспорта общего пользования и обеспечение доступности транспортных услуг для населения (заседание комиссии по обследованию автобусных маршрутов регулярных перевозок пассажиров и багажа наземным автомобильным транспортом общего пользования на территории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>Кяхтинского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района Республики Бурятия) </w:t>
            </w:r>
          </w:p>
        </w:tc>
        <w:tc>
          <w:tcPr>
            <w:tcW w:w="3231" w:type="dxa"/>
          </w:tcPr>
          <w:p w:rsidR="00205123" w:rsidRPr="00205123" w:rsidRDefault="00205123" w:rsidP="00205123">
            <w:pPr>
              <w:ind w:left="103" w:right="2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  <w:proofErr w:type="spellEnd"/>
          </w:p>
        </w:tc>
        <w:tc>
          <w:tcPr>
            <w:tcW w:w="2050" w:type="dxa"/>
          </w:tcPr>
          <w:p w:rsidR="00205123" w:rsidRPr="00205123" w:rsidRDefault="00205123" w:rsidP="00205123">
            <w:pPr>
              <w:spacing w:line="237" w:lineRule="auto"/>
              <w:ind w:left="100" w:right="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Уполномоченный</w:t>
            </w:r>
            <w:proofErr w:type="spellEnd"/>
            <w:r w:rsidRPr="002051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05123">
              <w:rPr>
                <w:rFonts w:ascii="Times New Roman" w:eastAsia="Times New Roman" w:hAnsi="Times New Roman" w:cs="Times New Roman"/>
                <w:sz w:val="24"/>
              </w:rPr>
              <w:t>орган</w:t>
            </w:r>
            <w:proofErr w:type="spellEnd"/>
          </w:p>
        </w:tc>
      </w:tr>
    </w:tbl>
    <w:p w:rsidR="00205123" w:rsidRPr="00205123" w:rsidRDefault="00205123" w:rsidP="0020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05123" w:rsidRPr="002051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80" w:right="1040" w:bottom="280" w:left="1340" w:header="743" w:footer="0" w:gutter="0"/>
          <w:pgNumType w:start="2"/>
          <w:cols w:space="720"/>
        </w:sectPr>
      </w:pPr>
    </w:p>
    <w:p w:rsidR="00D5616D" w:rsidRDefault="00D5616D"/>
    <w:sectPr w:rsidR="00D5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4032250</wp:posOffset>
              </wp:positionH>
              <wp:positionV relativeFrom="page">
                <wp:posOffset>459105</wp:posOffset>
              </wp:positionV>
              <wp:extent cx="127000" cy="177800"/>
              <wp:effectExtent l="3175" t="1905" r="3175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123" w:rsidRDefault="0020512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7.5pt;margin-top:36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" filled="f" stroked="f">
              <v:textbox inset="0,0,0,0">
                <w:txbxContent>
                  <w:p w:rsidR="00205123" w:rsidRDefault="0020512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23" w:rsidRDefault="002051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9596444E"/>
    <w:lvl w:ilvl="0" w:tplc="E07CB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56"/>
    <w:rsid w:val="00205123"/>
    <w:rsid w:val="00BE0356"/>
    <w:rsid w:val="00D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51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5123"/>
  </w:style>
  <w:style w:type="table" w:customStyle="1" w:styleId="TableNormal">
    <w:name w:val="Table Normal"/>
    <w:uiPriority w:val="2"/>
    <w:semiHidden/>
    <w:unhideWhenUsed/>
    <w:qFormat/>
    <w:rsid w:val="002051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51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5123"/>
  </w:style>
  <w:style w:type="table" w:customStyle="1" w:styleId="TableNormal">
    <w:name w:val="Table Normal"/>
    <w:uiPriority w:val="2"/>
    <w:semiHidden/>
    <w:unhideWhenUsed/>
    <w:qFormat/>
    <w:rsid w:val="0020512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051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2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1142</Words>
  <Characters>6513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torg_otdel_Igumnova</dc:creator>
  <cp:keywords/>
  <dc:description/>
  <cp:lastModifiedBy>torg_otdel_Igumnova</cp:lastModifiedBy>
  <cp:revision>2</cp:revision>
  <dcterms:created xsi:type="dcterms:W3CDTF">2017-11-16T02:00:00Z</dcterms:created>
  <dcterms:modified xsi:type="dcterms:W3CDTF">2017-11-16T02:04:00Z</dcterms:modified>
</cp:coreProperties>
</file>